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State">
        <w:smartTag w:uri="urn:schemas-microsoft-com:office:smarttags" w:element="plac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78755568"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8D49AB">
        <w:rPr>
          <w:rFonts w:ascii="Times New Roman" w:eastAsia="Times New Roman" w:hAnsi="Times New Roman" w:cs="Times New Roman"/>
          <w:sz w:val="24"/>
          <w:szCs w:val="24"/>
        </w:rPr>
        <w:t>Mildred Anaele</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B559CB9" w:rsidR="003E3FA5" w:rsidRPr="003E3FA5" w:rsidRDefault="003E3FA5" w:rsidP="00531AAD">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01A29FFE"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CE79A0">
        <w:rPr>
          <w:rFonts w:ascii="Times New Roman" w:eastAsia="Times New Roman" w:hAnsi="Times New Roman" w:cs="Times New Roman"/>
          <w:sz w:val="24"/>
          <w:szCs w:val="24"/>
        </w:rPr>
        <w:t xml:space="preserve">January </w:t>
      </w:r>
      <w:r w:rsidR="00197D32">
        <w:rPr>
          <w:rFonts w:ascii="Times New Roman" w:eastAsia="Times New Roman" w:hAnsi="Times New Roman" w:cs="Times New Roman"/>
          <w:sz w:val="24"/>
          <w:szCs w:val="24"/>
        </w:rPr>
        <w:t>13</w:t>
      </w:r>
      <w:r w:rsidR="00CE79A0">
        <w:rPr>
          <w:rFonts w:ascii="Times New Roman" w:eastAsia="Times New Roman" w:hAnsi="Times New Roman" w:cs="Times New Roman"/>
          <w:sz w:val="24"/>
          <w:szCs w:val="24"/>
        </w:rPr>
        <w:t>, 2023</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0B214291" w:rsidR="003E3FA5" w:rsidRPr="003E3FA5" w:rsidRDefault="003E3FA5" w:rsidP="003E3FA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bookmarkEnd w:id="0"/>
      <w:r w:rsidR="008D49AB">
        <w:rPr>
          <w:rFonts w:ascii="Times New Roman" w:eastAsia="Times New Roman" w:hAnsi="Times New Roman" w:cs="Times New Roman"/>
          <w:bCs/>
          <w:iCs/>
          <w:sz w:val="24"/>
          <w:szCs w:val="24"/>
        </w:rPr>
        <w:t>52391</w:t>
      </w:r>
      <w:r w:rsidR="00636D72" w:rsidRPr="00147CE5">
        <w:rPr>
          <w:rFonts w:ascii="Times New Roman" w:eastAsia="Times New Roman" w:hAnsi="Times New Roman" w:cs="Times New Roman"/>
          <w:bCs/>
          <w:i/>
          <w:iCs/>
          <w:sz w:val="24"/>
          <w:szCs w:val="24"/>
        </w:rPr>
        <w:t xml:space="preserve"> – Application of </w:t>
      </w:r>
      <w:r w:rsidR="008D49AB">
        <w:rPr>
          <w:rFonts w:ascii="Times New Roman" w:eastAsia="Times New Roman" w:hAnsi="Times New Roman" w:cs="Times New Roman"/>
          <w:bCs/>
          <w:i/>
          <w:iCs/>
          <w:sz w:val="24"/>
          <w:szCs w:val="24"/>
        </w:rPr>
        <w:t>Liberty County Utilities, LLC for Water and Sewer Certificates of Convenience and Necessity in Liberty County</w:t>
      </w:r>
    </w:p>
    <w:p w14:paraId="2430D8CD"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4986E429" w14:textId="5CD4B1CD" w:rsidR="00636D72" w:rsidRDefault="003E3FA5" w:rsidP="00684EDF">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 xml:space="preserve">On </w:t>
      </w:r>
      <w:r w:rsidR="008D49AB">
        <w:rPr>
          <w:rFonts w:ascii="Times New Roman" w:eastAsia="Times New Roman" w:hAnsi="Times New Roman" w:cs="Times New Roman"/>
          <w:sz w:val="24"/>
          <w:szCs w:val="24"/>
        </w:rPr>
        <w:t>August 5</w:t>
      </w:r>
      <w:r w:rsidRPr="00147CE5">
        <w:rPr>
          <w:rFonts w:ascii="Times New Roman" w:eastAsia="Times New Roman" w:hAnsi="Times New Roman" w:cs="Times New Roman"/>
          <w:sz w:val="24"/>
          <w:szCs w:val="24"/>
        </w:rPr>
        <w:t>, 202</w:t>
      </w:r>
      <w:r w:rsidR="008D49AB">
        <w:rPr>
          <w:rFonts w:ascii="Times New Roman" w:eastAsia="Times New Roman" w:hAnsi="Times New Roman" w:cs="Times New Roman"/>
          <w:sz w:val="24"/>
          <w:szCs w:val="24"/>
        </w:rPr>
        <w:t>1</w:t>
      </w:r>
      <w:r w:rsidRPr="00147CE5">
        <w:rPr>
          <w:rFonts w:ascii="Times New Roman" w:eastAsia="Times New Roman" w:hAnsi="Times New Roman" w:cs="Times New Roman"/>
          <w:sz w:val="24"/>
          <w:szCs w:val="24"/>
        </w:rPr>
        <w:t xml:space="preserve">, </w:t>
      </w:r>
      <w:r w:rsidR="008D49AB">
        <w:rPr>
          <w:rFonts w:ascii="Times New Roman" w:eastAsia="Times New Roman" w:hAnsi="Times New Roman" w:cs="Times New Roman"/>
          <w:sz w:val="24"/>
          <w:szCs w:val="24"/>
        </w:rPr>
        <w:t>Liberty County Utilities, LLC (</w:t>
      </w:r>
      <w:r w:rsidR="00E2548D">
        <w:rPr>
          <w:rFonts w:ascii="Times New Roman" w:eastAsia="Times New Roman" w:hAnsi="Times New Roman" w:cs="Times New Roman"/>
          <w:sz w:val="24"/>
          <w:szCs w:val="24"/>
        </w:rPr>
        <w:t>LCU</w:t>
      </w:r>
      <w:r w:rsidR="00636D72" w:rsidRPr="00636D72">
        <w:rPr>
          <w:rFonts w:ascii="Times New Roman" w:eastAsia="Times New Roman" w:hAnsi="Times New Roman" w:cs="Times New Roman"/>
          <w:sz w:val="24"/>
          <w:szCs w:val="24"/>
        </w:rPr>
        <w:t xml:space="preserve">) </w:t>
      </w:r>
      <w:r w:rsidRPr="00147CE5">
        <w:rPr>
          <w:rFonts w:ascii="Times New Roman" w:eastAsia="Times New Roman" w:hAnsi="Times New Roman" w:cs="Times New Roman"/>
          <w:sz w:val="24"/>
          <w:szCs w:val="24"/>
        </w:rPr>
        <w:t>filed an application</w:t>
      </w:r>
      <w:r w:rsidR="00F81C5D">
        <w:rPr>
          <w:rFonts w:ascii="Times New Roman" w:eastAsia="Times New Roman" w:hAnsi="Times New Roman" w:cs="Times New Roman"/>
          <w:sz w:val="24"/>
          <w:szCs w:val="24"/>
        </w:rPr>
        <w:t xml:space="preserve"> to </w:t>
      </w:r>
      <w:r w:rsidR="00531AAD">
        <w:rPr>
          <w:rFonts w:ascii="Times New Roman" w:eastAsia="Times New Roman" w:hAnsi="Times New Roman" w:cs="Times New Roman"/>
          <w:sz w:val="24"/>
          <w:szCs w:val="24"/>
        </w:rPr>
        <w:t>for new</w:t>
      </w:r>
      <w:r w:rsidR="00F81C5D">
        <w:rPr>
          <w:rFonts w:ascii="Times New Roman" w:eastAsia="Times New Roman" w:hAnsi="Times New Roman" w:cs="Times New Roman"/>
          <w:sz w:val="24"/>
          <w:szCs w:val="24"/>
        </w:rPr>
        <w:t xml:space="preserve"> </w:t>
      </w:r>
      <w:r w:rsidR="006F5466">
        <w:rPr>
          <w:rFonts w:ascii="Times New Roman" w:eastAsia="Times New Roman" w:hAnsi="Times New Roman" w:cs="Times New Roman"/>
          <w:sz w:val="24"/>
          <w:szCs w:val="24"/>
        </w:rPr>
        <w:t xml:space="preserve">water </w:t>
      </w:r>
      <w:r w:rsidR="00531AAD">
        <w:rPr>
          <w:rFonts w:ascii="Times New Roman" w:eastAsia="Times New Roman" w:hAnsi="Times New Roman" w:cs="Times New Roman"/>
          <w:sz w:val="24"/>
          <w:szCs w:val="24"/>
        </w:rPr>
        <w:t xml:space="preserve">and sewer </w:t>
      </w:r>
      <w:r w:rsidR="00F81C5D">
        <w:rPr>
          <w:rFonts w:ascii="Times New Roman" w:eastAsia="Times New Roman" w:hAnsi="Times New Roman" w:cs="Times New Roman"/>
          <w:sz w:val="24"/>
          <w:szCs w:val="24"/>
        </w:rPr>
        <w:t>certificate</w:t>
      </w:r>
      <w:r w:rsidR="00531AAD">
        <w:rPr>
          <w:rFonts w:ascii="Times New Roman" w:eastAsia="Times New Roman" w:hAnsi="Times New Roman" w:cs="Times New Roman"/>
          <w:sz w:val="24"/>
          <w:szCs w:val="24"/>
        </w:rPr>
        <w:t>s</w:t>
      </w:r>
      <w:r w:rsidR="00F81C5D">
        <w:rPr>
          <w:rFonts w:ascii="Times New Roman" w:eastAsia="Times New Roman" w:hAnsi="Times New Roman" w:cs="Times New Roman"/>
          <w:sz w:val="24"/>
          <w:szCs w:val="24"/>
        </w:rPr>
        <w:t xml:space="preserve"> of convenience and necessity (CCN) </w:t>
      </w:r>
      <w:r w:rsidR="00636D72" w:rsidRPr="00636D72">
        <w:rPr>
          <w:rFonts w:ascii="Times New Roman" w:eastAsia="Times New Roman" w:hAnsi="Times New Roman" w:cs="Times New Roman"/>
          <w:sz w:val="24"/>
          <w:szCs w:val="24"/>
        </w:rPr>
        <w:t xml:space="preserve">Subchapter G of Texas Water Code Chapter 13. </w:t>
      </w:r>
    </w:p>
    <w:p w14:paraId="41C7DCC5" w14:textId="1FBA31F5" w:rsidR="00376E5F" w:rsidRPr="00973928" w:rsidRDefault="00376E5F" w:rsidP="00684EDF">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 xml:space="preserve">Texas Administrative Code (TAC) § 24.11.  </w:t>
      </w:r>
      <w:r w:rsidR="00E2548D">
        <w:rPr>
          <w:rFonts w:ascii="Times New Roman" w:eastAsia="Times New Roman" w:hAnsi="Times New Roman" w:cs="Times New Roman"/>
          <w:sz w:val="24"/>
          <w:szCs w:val="24"/>
        </w:rPr>
        <w:t>LCU</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57193D7F" w14:textId="52EA57C1" w:rsidR="00E2548D" w:rsidRPr="001C59A0" w:rsidRDefault="00376E5F" w:rsidP="00684EDF">
      <w:pPr>
        <w:spacing w:after="120" w:line="360" w:lineRule="auto"/>
        <w:jc w:val="both"/>
        <w:rPr>
          <w:rFonts w:ascii="Times New Roman" w:eastAsia="Times New Roman" w:hAnsi="Times New Roman" w:cs="Times New Roman"/>
          <w:b/>
          <w:bCs/>
          <w:sz w:val="24"/>
          <w:szCs w:val="24"/>
        </w:rPr>
      </w:pPr>
      <w:r w:rsidRPr="001C59A0">
        <w:rPr>
          <w:rFonts w:ascii="Times New Roman" w:eastAsia="Times New Roman" w:hAnsi="Times New Roman" w:cs="Times New Roman"/>
          <w:b/>
          <w:bCs/>
          <w:i/>
          <w:iCs/>
          <w:sz w:val="24"/>
          <w:szCs w:val="24"/>
        </w:rPr>
        <w:t>Leverage Test</w:t>
      </w:r>
    </w:p>
    <w:p w14:paraId="2DB43BE8" w14:textId="056EF72D" w:rsidR="00EA79D9" w:rsidRPr="00973928" w:rsidRDefault="00EA79D9" w:rsidP="00684EDF">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LCU </w:t>
      </w:r>
      <w:r w:rsidRPr="00E2548D">
        <w:rPr>
          <w:rFonts w:ascii="Times New Roman" w:eastAsia="Times New Roman" w:hAnsi="Times New Roman" w:cs="Times New Roman"/>
          <w:sz w:val="24"/>
          <w:szCs w:val="24"/>
        </w:rPr>
        <w:t>filed a Financial Guarantee stating that Colony Ridge, Inc. is capable, available, and willing to cover any temporary cash shortages</w:t>
      </w:r>
      <w:r w:rsidR="00DF03E9">
        <w:rPr>
          <w:rFonts w:ascii="Times New Roman" w:eastAsia="Times New Roman" w:hAnsi="Times New Roman" w:cs="Times New Roman"/>
          <w:sz w:val="24"/>
          <w:szCs w:val="24"/>
        </w:rPr>
        <w:t>, until “the completion of all of the facilities required to provide water and wastewater service</w:t>
      </w:r>
      <w:r w:rsidR="004E3C14">
        <w:rPr>
          <w:rFonts w:ascii="Times New Roman" w:eastAsia="Times New Roman" w:hAnsi="Times New Roman" w:cs="Times New Roman"/>
          <w:sz w:val="24"/>
          <w:szCs w:val="24"/>
        </w:rPr>
        <w:t>” to the area served by the CCN.</w:t>
      </w:r>
      <w:r>
        <w:rPr>
          <w:rStyle w:val="FootnoteReference"/>
          <w:rFonts w:ascii="Times New Roman" w:eastAsia="Times New Roman" w:hAnsi="Times New Roman" w:cs="Times New Roman"/>
          <w:sz w:val="24"/>
          <w:szCs w:val="24"/>
        </w:rPr>
        <w:footnoteReference w:id="1"/>
      </w:r>
    </w:p>
    <w:p w14:paraId="31389966" w14:textId="2A172FD8" w:rsidR="00EB6314" w:rsidRDefault="00133D92" w:rsidP="00684EDF">
      <w:pPr>
        <w:spacing w:after="120" w:line="360" w:lineRule="auto"/>
        <w:ind w:firstLine="720"/>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 xml:space="preserve">My analysis is based on financial statements ending </w:t>
      </w:r>
      <w:r w:rsidR="00BA5465" w:rsidRPr="00973928">
        <w:rPr>
          <w:rFonts w:ascii="Times New Roman" w:eastAsia="Times New Roman" w:hAnsi="Times New Roman" w:cs="Times New Roman"/>
          <w:sz w:val="24"/>
          <w:szCs w:val="24"/>
        </w:rPr>
        <w:t>December 31, 202</w:t>
      </w:r>
      <w:r w:rsidR="00684EDF">
        <w:rPr>
          <w:rFonts w:ascii="Times New Roman" w:eastAsia="Times New Roman" w:hAnsi="Times New Roman" w:cs="Times New Roman"/>
          <w:sz w:val="24"/>
          <w:szCs w:val="24"/>
        </w:rPr>
        <w:t>1</w:t>
      </w:r>
      <w:r w:rsidRPr="00973928">
        <w:rPr>
          <w:rFonts w:ascii="Times New Roman" w:eastAsia="Times New Roman" w:hAnsi="Times New Roman" w:cs="Times New Roman"/>
          <w:sz w:val="24"/>
          <w:szCs w:val="24"/>
        </w:rPr>
        <w:t xml:space="preserve">.  These financial statements contain an unqualified auditor’s opinion from </w:t>
      </w:r>
      <w:r w:rsidR="00531AAD">
        <w:rPr>
          <w:rFonts w:ascii="Times New Roman" w:eastAsia="Times New Roman" w:hAnsi="Times New Roman" w:cs="Times New Roman"/>
          <w:sz w:val="24"/>
          <w:szCs w:val="24"/>
        </w:rPr>
        <w:t xml:space="preserve">EEPB </w:t>
      </w:r>
      <w:r w:rsidRPr="00973928">
        <w:rPr>
          <w:rFonts w:ascii="Times New Roman" w:eastAsia="Times New Roman" w:hAnsi="Times New Roman" w:cs="Times New Roman"/>
          <w:sz w:val="24"/>
          <w:szCs w:val="24"/>
        </w:rPr>
        <w:t xml:space="preserve">stating that the financial </w:t>
      </w:r>
      <w:r w:rsidRPr="00973928">
        <w:rPr>
          <w:rFonts w:ascii="Times New Roman" w:eastAsia="Times New Roman" w:hAnsi="Times New Roman" w:cs="Times New Roman"/>
          <w:sz w:val="24"/>
          <w:szCs w:val="24"/>
        </w:rPr>
        <w:lastRenderedPageBreak/>
        <w:t xml:space="preserve">statements present fairly, in all material respects, the financial position of </w:t>
      </w:r>
      <w:r w:rsidR="00E2548D">
        <w:rPr>
          <w:rFonts w:ascii="Times New Roman" w:eastAsia="Times New Roman" w:hAnsi="Times New Roman" w:cs="Times New Roman"/>
          <w:sz w:val="24"/>
          <w:szCs w:val="24"/>
        </w:rPr>
        <w:t>Colony Ridge, Inc.</w:t>
      </w:r>
      <w:r w:rsidRPr="00973928">
        <w:rPr>
          <w:rFonts w:ascii="Times New Roman" w:eastAsia="Times New Roman" w:hAnsi="Times New Roman" w:cs="Times New Roman"/>
          <w:sz w:val="24"/>
          <w:szCs w:val="24"/>
        </w:rPr>
        <w:t xml:space="preserve"> as of </w:t>
      </w:r>
      <w:r w:rsidR="00BA5465" w:rsidRPr="00973928">
        <w:rPr>
          <w:rFonts w:ascii="Times New Roman" w:eastAsia="Times New Roman" w:hAnsi="Times New Roman" w:cs="Times New Roman"/>
          <w:sz w:val="24"/>
          <w:szCs w:val="24"/>
        </w:rPr>
        <w:t>December 31, 202</w:t>
      </w:r>
      <w:r w:rsidR="00684EDF">
        <w:rPr>
          <w:rFonts w:ascii="Times New Roman" w:eastAsia="Times New Roman" w:hAnsi="Times New Roman" w:cs="Times New Roman"/>
          <w:sz w:val="24"/>
          <w:szCs w:val="24"/>
        </w:rPr>
        <w:t>1</w:t>
      </w:r>
      <w:r w:rsidR="00BA5465" w:rsidRPr="00973928">
        <w:rPr>
          <w:rFonts w:ascii="Times New Roman" w:eastAsia="Times New Roman" w:hAnsi="Times New Roman" w:cs="Times New Roman"/>
          <w:sz w:val="24"/>
          <w:szCs w:val="24"/>
        </w:rPr>
        <w:t>.</w:t>
      </w:r>
      <w:r w:rsidR="00937A70">
        <w:rPr>
          <w:rStyle w:val="FootnoteReference"/>
          <w:rFonts w:ascii="Times New Roman" w:eastAsia="Times New Roman" w:hAnsi="Times New Roman" w:cs="Times New Roman"/>
          <w:sz w:val="24"/>
          <w:szCs w:val="24"/>
        </w:rPr>
        <w:footnoteReference w:id="2"/>
      </w:r>
    </w:p>
    <w:p w14:paraId="20B5D911" w14:textId="2D4C66C2" w:rsidR="00133D92" w:rsidRPr="00044207" w:rsidRDefault="00133D92" w:rsidP="00684EDF">
      <w:pPr>
        <w:spacing w:after="120" w:line="360" w:lineRule="auto"/>
        <w:jc w:val="both"/>
        <w:rPr>
          <w:rFonts w:ascii="Times New Roman" w:eastAsia="Times New Roman" w:hAnsi="Times New Roman" w:cs="Times New Roman"/>
          <w:b/>
          <w:bCs/>
          <w:sz w:val="24"/>
          <w:szCs w:val="24"/>
        </w:rPr>
      </w:pPr>
      <w:r w:rsidRPr="00973928">
        <w:rPr>
          <w:rFonts w:ascii="Times New Roman" w:eastAsia="Times New Roman" w:hAnsi="Times New Roman" w:cs="Times New Roman"/>
          <w:sz w:val="24"/>
          <w:szCs w:val="24"/>
        </w:rPr>
        <w:tab/>
        <w:t xml:space="preserve">Based upon my review of </w:t>
      </w:r>
      <w:r w:rsidR="00E2548D" w:rsidRPr="00044207">
        <w:rPr>
          <w:rFonts w:ascii="Times New Roman" w:eastAsia="Times New Roman" w:hAnsi="Times New Roman" w:cs="Times New Roman"/>
          <w:sz w:val="24"/>
          <w:szCs w:val="24"/>
        </w:rPr>
        <w:t xml:space="preserve">the </w:t>
      </w:r>
      <w:r w:rsidRPr="00044207">
        <w:rPr>
          <w:rFonts w:ascii="Times New Roman" w:eastAsia="Times New Roman" w:hAnsi="Times New Roman" w:cs="Times New Roman"/>
          <w:sz w:val="24"/>
          <w:szCs w:val="24"/>
        </w:rPr>
        <w:t>financial statements</w:t>
      </w:r>
      <w:r w:rsidR="00E2548D" w:rsidRPr="00044207">
        <w:rPr>
          <w:rFonts w:ascii="Times New Roman" w:eastAsia="Times New Roman" w:hAnsi="Times New Roman" w:cs="Times New Roman"/>
          <w:sz w:val="24"/>
          <w:szCs w:val="24"/>
        </w:rPr>
        <w:t xml:space="preserve"> of Colony Ridge, Inc.</w:t>
      </w:r>
      <w:r w:rsidRPr="00044207">
        <w:rPr>
          <w:rFonts w:ascii="Times New Roman" w:eastAsia="Times New Roman" w:hAnsi="Times New Roman" w:cs="Times New Roman"/>
          <w:sz w:val="24"/>
          <w:szCs w:val="24"/>
        </w:rPr>
        <w:t>, I calculate</w:t>
      </w:r>
      <w:r w:rsidR="00A20872">
        <w:rPr>
          <w:rFonts w:ascii="Times New Roman" w:eastAsia="Times New Roman" w:hAnsi="Times New Roman" w:cs="Times New Roman"/>
          <w:sz w:val="24"/>
          <w:szCs w:val="24"/>
        </w:rPr>
        <w:t xml:space="preserve"> a</w:t>
      </w:r>
      <w:r w:rsidRPr="00044207">
        <w:rPr>
          <w:rFonts w:ascii="Times New Roman" w:eastAsia="Times New Roman" w:hAnsi="Times New Roman" w:cs="Times New Roman"/>
          <w:sz w:val="24"/>
          <w:szCs w:val="24"/>
        </w:rPr>
        <w:t xml:space="preserve"> debt</w:t>
      </w:r>
      <w:r w:rsidR="00A20872">
        <w:rPr>
          <w:rFonts w:ascii="Times New Roman" w:eastAsia="Times New Roman" w:hAnsi="Times New Roman" w:cs="Times New Roman"/>
          <w:sz w:val="24"/>
          <w:szCs w:val="24"/>
        </w:rPr>
        <w:t xml:space="preserve">-to-equity ratio </w:t>
      </w:r>
      <w:r w:rsidRPr="00044207">
        <w:rPr>
          <w:rFonts w:ascii="Times New Roman" w:eastAsia="Times New Roman" w:hAnsi="Times New Roman" w:cs="Times New Roman"/>
          <w:sz w:val="24"/>
          <w:szCs w:val="24"/>
        </w:rPr>
        <w:t xml:space="preserve">equal to </w:t>
      </w:r>
      <w:r w:rsidR="006C40EE">
        <w:rPr>
          <w:rFonts w:ascii="Times New Roman" w:eastAsia="Times New Roman" w:hAnsi="Times New Roman" w:cs="Times New Roman"/>
          <w:sz w:val="24"/>
          <w:szCs w:val="24"/>
        </w:rPr>
        <w:t>0.11</w:t>
      </w:r>
      <w:r w:rsidR="00BA5465" w:rsidRPr="00044207">
        <w:rPr>
          <w:rFonts w:ascii="Times New Roman" w:eastAsia="Times New Roman" w:hAnsi="Times New Roman" w:cs="Times New Roman"/>
          <w:sz w:val="24"/>
          <w:szCs w:val="24"/>
        </w:rPr>
        <w:t>.</w:t>
      </w:r>
      <w:r w:rsidR="003829B2" w:rsidRPr="0004746B">
        <w:rPr>
          <w:rStyle w:val="FootnoteReference"/>
          <w:rFonts w:ascii="Times New Roman" w:eastAsia="Times New Roman" w:hAnsi="Times New Roman" w:cs="Times New Roman"/>
          <w:sz w:val="24"/>
          <w:szCs w:val="24"/>
        </w:rPr>
        <w:footnoteReference w:id="3"/>
      </w:r>
      <w:r w:rsidRPr="00044207">
        <w:rPr>
          <w:rFonts w:ascii="Times New Roman" w:eastAsia="Times New Roman" w:hAnsi="Times New Roman" w:cs="Times New Roman"/>
          <w:b/>
          <w:bCs/>
          <w:sz w:val="24"/>
          <w:szCs w:val="24"/>
        </w:rPr>
        <w:t xml:space="preserve"> </w:t>
      </w:r>
      <w:r w:rsidRPr="00044207">
        <w:rPr>
          <w:rFonts w:ascii="Times New Roman" w:eastAsia="Times New Roman" w:hAnsi="Times New Roman" w:cs="Times New Roman"/>
          <w:sz w:val="24"/>
          <w:szCs w:val="24"/>
        </w:rPr>
        <w:t xml:space="preserve">Because the ratio is </w:t>
      </w:r>
      <w:r w:rsidR="003F5F18">
        <w:rPr>
          <w:rFonts w:ascii="Times New Roman" w:eastAsia="Times New Roman" w:hAnsi="Times New Roman" w:cs="Times New Roman"/>
          <w:sz w:val="24"/>
          <w:szCs w:val="24"/>
        </w:rPr>
        <w:t>less than one</w:t>
      </w:r>
      <w:r w:rsidRPr="00044207">
        <w:rPr>
          <w:rFonts w:ascii="Times New Roman" w:eastAsia="Times New Roman" w:hAnsi="Times New Roman" w:cs="Times New Roman"/>
          <w:sz w:val="24"/>
          <w:szCs w:val="24"/>
        </w:rPr>
        <w:t xml:space="preserve">, I recommend a finding that </w:t>
      </w:r>
      <w:r w:rsidR="00044207" w:rsidRPr="00044207">
        <w:rPr>
          <w:rFonts w:ascii="Times New Roman" w:eastAsia="Times New Roman" w:hAnsi="Times New Roman" w:cs="Times New Roman"/>
          <w:sz w:val="24"/>
          <w:szCs w:val="24"/>
        </w:rPr>
        <w:t>Colony Ridge, Inc.</w:t>
      </w:r>
      <w:r w:rsidR="00E2548D" w:rsidRPr="00044207">
        <w:rPr>
          <w:rFonts w:ascii="Times New Roman" w:eastAsia="Times New Roman" w:hAnsi="Times New Roman" w:cs="Times New Roman"/>
          <w:sz w:val="24"/>
          <w:szCs w:val="24"/>
        </w:rPr>
        <w:t xml:space="preserve"> </w:t>
      </w:r>
      <w:r w:rsidRPr="00044207">
        <w:rPr>
          <w:rFonts w:ascii="Times New Roman" w:eastAsia="Times New Roman" w:hAnsi="Times New Roman" w:cs="Times New Roman"/>
          <w:sz w:val="24"/>
          <w:szCs w:val="24"/>
        </w:rPr>
        <w:t xml:space="preserve">meets the leverage test specified in 16 TAC </w:t>
      </w:r>
      <w:bookmarkStart w:id="1" w:name="_Hlk59192949"/>
      <w:r w:rsidRPr="00044207">
        <w:rPr>
          <w:rFonts w:ascii="Times New Roman" w:eastAsia="Times New Roman" w:hAnsi="Times New Roman" w:cs="Times New Roman"/>
          <w:sz w:val="24"/>
          <w:szCs w:val="24"/>
        </w:rPr>
        <w:t>§ 24.11(e)(2)(</w:t>
      </w:r>
      <w:r w:rsidR="003F5F18">
        <w:rPr>
          <w:rFonts w:ascii="Times New Roman" w:eastAsia="Times New Roman" w:hAnsi="Times New Roman" w:cs="Times New Roman"/>
          <w:sz w:val="24"/>
          <w:szCs w:val="24"/>
        </w:rPr>
        <w:t>A</w:t>
      </w:r>
      <w:r w:rsidRPr="00044207">
        <w:rPr>
          <w:rFonts w:ascii="Times New Roman" w:eastAsia="Times New Roman" w:hAnsi="Times New Roman" w:cs="Times New Roman"/>
          <w:sz w:val="24"/>
          <w:szCs w:val="24"/>
        </w:rPr>
        <w:t>).</w:t>
      </w:r>
      <w:bookmarkEnd w:id="1"/>
      <w:r w:rsidR="00044207" w:rsidRPr="00044207">
        <w:rPr>
          <w:rFonts w:ascii="Times New Roman" w:eastAsia="Times New Roman" w:hAnsi="Times New Roman" w:cs="Times New Roman"/>
          <w:sz w:val="24"/>
          <w:szCs w:val="24"/>
        </w:rPr>
        <w:t xml:space="preserve"> </w:t>
      </w:r>
      <w:r w:rsidR="007745E7">
        <w:rPr>
          <w:rFonts w:ascii="Times New Roman" w:eastAsia="Times New Roman" w:hAnsi="Times New Roman" w:cs="Times New Roman"/>
          <w:sz w:val="24"/>
          <w:szCs w:val="24"/>
        </w:rPr>
        <w:t>T</w:t>
      </w:r>
      <w:r w:rsidR="007745E7" w:rsidRPr="00156FAF">
        <w:rPr>
          <w:rFonts w:ascii="Times New Roman" w:eastAsia="Times New Roman" w:hAnsi="Times New Roman" w:cs="Times New Roman"/>
          <w:sz w:val="24"/>
          <w:szCs w:val="24"/>
        </w:rPr>
        <w:t xml:space="preserve">herefore, I recommend a finding that—through </w:t>
      </w:r>
      <w:r w:rsidR="007745E7">
        <w:rPr>
          <w:rFonts w:ascii="Times New Roman" w:eastAsia="Times New Roman" w:hAnsi="Times New Roman" w:cs="Times New Roman"/>
          <w:sz w:val="24"/>
          <w:szCs w:val="24"/>
        </w:rPr>
        <w:t>their</w:t>
      </w:r>
      <w:r w:rsidR="007745E7" w:rsidRPr="00156FAF">
        <w:rPr>
          <w:rFonts w:ascii="Times New Roman" w:eastAsia="Times New Roman" w:hAnsi="Times New Roman" w:cs="Times New Roman"/>
          <w:sz w:val="24"/>
          <w:szCs w:val="24"/>
        </w:rPr>
        <w:t xml:space="preserve"> affiliate—</w:t>
      </w:r>
      <w:r w:rsidR="007745E7">
        <w:rPr>
          <w:rFonts w:ascii="Times New Roman" w:eastAsia="Times New Roman" w:hAnsi="Times New Roman" w:cs="Times New Roman"/>
          <w:sz w:val="24"/>
          <w:szCs w:val="24"/>
        </w:rPr>
        <w:t>LCU</w:t>
      </w:r>
      <w:r w:rsidR="007745E7" w:rsidRPr="00156FAF">
        <w:rPr>
          <w:rFonts w:ascii="Times New Roman" w:eastAsia="Times New Roman" w:hAnsi="Times New Roman" w:cs="Times New Roman"/>
          <w:sz w:val="24"/>
          <w:szCs w:val="24"/>
        </w:rPr>
        <w:t xml:space="preserve"> meets the leverage test as specified in 16 TAC § 24.11(e)(2)(E).</w:t>
      </w:r>
    </w:p>
    <w:p w14:paraId="62695412" w14:textId="3F4B02E2" w:rsidR="00376E5F" w:rsidRPr="001C59A0" w:rsidRDefault="00376E5F" w:rsidP="00684EDF">
      <w:pPr>
        <w:spacing w:after="120" w:line="360" w:lineRule="auto"/>
        <w:jc w:val="both"/>
        <w:rPr>
          <w:rFonts w:ascii="Times New Roman" w:eastAsia="Times New Roman" w:hAnsi="Times New Roman" w:cs="Times New Roman"/>
          <w:b/>
          <w:bCs/>
          <w:sz w:val="24"/>
          <w:szCs w:val="24"/>
        </w:rPr>
      </w:pPr>
      <w:r w:rsidRPr="001C59A0">
        <w:rPr>
          <w:rFonts w:ascii="Times New Roman" w:eastAsia="Times New Roman" w:hAnsi="Times New Roman" w:cs="Times New Roman"/>
          <w:b/>
          <w:bCs/>
          <w:i/>
          <w:iCs/>
          <w:sz w:val="24"/>
          <w:szCs w:val="24"/>
        </w:rPr>
        <w:t>Operations Test</w:t>
      </w:r>
    </w:p>
    <w:p w14:paraId="0B391999" w14:textId="77777777" w:rsidR="00097F9A" w:rsidRDefault="00133D92" w:rsidP="00684ED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097F9A" w:rsidRPr="00F7391A">
        <w:rPr>
          <w:rFonts w:ascii="Times New Roman" w:eastAsia="Times New Roman" w:hAnsi="Times New Roman" w:cs="Times New Roman"/>
          <w:sz w:val="24"/>
          <w:szCs w:val="24"/>
        </w:rPr>
        <w:t xml:space="preserve">An owner or operator must demonstrate sufficient available cash to cover projected cash shortages for operations and maintenance </w:t>
      </w:r>
      <w:r w:rsidR="00097F9A" w:rsidRPr="00204D19">
        <w:rPr>
          <w:rFonts w:ascii="Times New Roman" w:eastAsia="Times New Roman" w:hAnsi="Times New Roman" w:cs="Times New Roman"/>
          <w:sz w:val="24"/>
          <w:szCs w:val="24"/>
        </w:rPr>
        <w:t>expense during the first five years of operations</w:t>
      </w:r>
      <w:r w:rsidR="00097F9A">
        <w:rPr>
          <w:rFonts w:ascii="Times New Roman" w:eastAsia="Times New Roman" w:hAnsi="Times New Roman" w:cs="Times New Roman"/>
          <w:sz w:val="24"/>
          <w:szCs w:val="24"/>
        </w:rPr>
        <w:t>; or a</w:t>
      </w:r>
      <w:r w:rsidR="00097F9A" w:rsidRPr="003D0026">
        <w:rPr>
          <w:rFonts w:ascii="Times New Roman" w:eastAsia="Times New Roman" w:hAnsi="Times New Roman" w:cs="Times New Roman"/>
          <w:sz w:val="24"/>
          <w:szCs w:val="24"/>
        </w:rPr>
        <w:t xml:space="preserve">n </w:t>
      </w:r>
      <w:r w:rsidR="00097F9A">
        <w:rPr>
          <w:rFonts w:ascii="Times New Roman" w:eastAsia="Times New Roman" w:hAnsi="Times New Roman" w:cs="Times New Roman"/>
          <w:sz w:val="24"/>
          <w:szCs w:val="24"/>
        </w:rPr>
        <w:t xml:space="preserve">affiliated interest may provide a written guaranty of coverage of temporary cash shortages if the affiliated interest </w:t>
      </w:r>
      <w:r w:rsidR="00097F9A" w:rsidRPr="00324F2F">
        <w:rPr>
          <w:rFonts w:ascii="Times New Roman" w:eastAsia="Times New Roman" w:hAnsi="Times New Roman" w:cs="Times New Roman"/>
          <w:sz w:val="24"/>
          <w:szCs w:val="24"/>
        </w:rPr>
        <w:t>also satisfies the leverage test, as required by 16 TAC § 24.11(e)(3).</w:t>
      </w:r>
    </w:p>
    <w:p w14:paraId="264A93F3" w14:textId="63CB1607" w:rsidR="00376E5F" w:rsidRDefault="00133D92" w:rsidP="00684EDF">
      <w:pPr>
        <w:spacing w:after="120" w:line="360" w:lineRule="auto"/>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ab/>
      </w:r>
      <w:r w:rsidR="00097F9A">
        <w:rPr>
          <w:rFonts w:ascii="Times New Roman" w:eastAsia="Times New Roman" w:hAnsi="Times New Roman" w:cs="Times New Roman"/>
          <w:sz w:val="24"/>
          <w:szCs w:val="24"/>
        </w:rPr>
        <w:t>LCU project</w:t>
      </w:r>
      <w:r w:rsidR="002C68ED">
        <w:rPr>
          <w:rFonts w:ascii="Times New Roman" w:eastAsia="Times New Roman" w:hAnsi="Times New Roman" w:cs="Times New Roman"/>
          <w:sz w:val="24"/>
          <w:szCs w:val="24"/>
        </w:rPr>
        <w:t>s</w:t>
      </w:r>
      <w:r w:rsidR="002C14AC">
        <w:rPr>
          <w:rFonts w:ascii="Times New Roman" w:eastAsia="Times New Roman" w:hAnsi="Times New Roman" w:cs="Times New Roman"/>
          <w:sz w:val="24"/>
          <w:szCs w:val="24"/>
        </w:rPr>
        <w:t xml:space="preserve"> operating shortages in the first two years of operations, however </w:t>
      </w:r>
      <w:r w:rsidR="00780CFF">
        <w:rPr>
          <w:rFonts w:ascii="Times New Roman" w:eastAsia="Times New Roman" w:hAnsi="Times New Roman" w:cs="Times New Roman"/>
          <w:sz w:val="24"/>
          <w:szCs w:val="24"/>
        </w:rPr>
        <w:t>this amount is exceeded by their guarantor’s available cash</w:t>
      </w:r>
      <w:r w:rsidR="00097F9A">
        <w:rPr>
          <w:rFonts w:ascii="Times New Roman" w:eastAsia="Times New Roman" w:hAnsi="Times New Roman" w:cs="Times New Roman"/>
          <w:sz w:val="24"/>
          <w:szCs w:val="24"/>
        </w:rPr>
        <w:t>.</w:t>
      </w:r>
      <w:r w:rsidR="00097F9A">
        <w:rPr>
          <w:rStyle w:val="FootnoteReference"/>
          <w:rFonts w:ascii="Times New Roman" w:eastAsia="Times New Roman" w:hAnsi="Times New Roman" w:cs="Times New Roman"/>
          <w:sz w:val="24"/>
          <w:szCs w:val="24"/>
        </w:rPr>
        <w:footnoteReference w:id="4"/>
      </w:r>
      <w:r w:rsidR="00097F9A">
        <w:rPr>
          <w:rFonts w:ascii="Times New Roman" w:eastAsia="Times New Roman" w:hAnsi="Times New Roman" w:cs="Times New Roman"/>
          <w:sz w:val="24"/>
          <w:szCs w:val="24"/>
        </w:rPr>
        <w:t xml:space="preserve"> </w:t>
      </w:r>
      <w:r w:rsidR="00E375C8">
        <w:rPr>
          <w:rFonts w:ascii="Times New Roman" w:eastAsia="Times New Roman" w:hAnsi="Times New Roman" w:cs="Times New Roman"/>
          <w:sz w:val="24"/>
          <w:szCs w:val="24"/>
        </w:rPr>
        <w:t>In addition to providing a written guaranty</w:t>
      </w:r>
      <w:r w:rsidR="00097F9A">
        <w:rPr>
          <w:rFonts w:ascii="Times New Roman" w:eastAsia="Times New Roman" w:hAnsi="Times New Roman" w:cs="Times New Roman"/>
          <w:sz w:val="24"/>
          <w:szCs w:val="24"/>
        </w:rPr>
        <w:t xml:space="preserve">, </w:t>
      </w:r>
      <w:r w:rsidR="001C59A0">
        <w:rPr>
          <w:rFonts w:ascii="Times New Roman" w:eastAsia="Times New Roman" w:hAnsi="Times New Roman" w:cs="Times New Roman"/>
          <w:sz w:val="24"/>
          <w:szCs w:val="24"/>
        </w:rPr>
        <w:t>Colony Ridge, Inc. satisfied the leverage test. Therefore,</w:t>
      </w:r>
      <w:r w:rsidR="001C59A0" w:rsidRPr="00533AB6">
        <w:rPr>
          <w:rFonts w:ascii="Times New Roman" w:eastAsia="Times New Roman" w:hAnsi="Times New Roman" w:cs="Times New Roman"/>
          <w:sz w:val="24"/>
          <w:szCs w:val="24"/>
        </w:rPr>
        <w:t xml:space="preserve"> I recommend</w:t>
      </w:r>
      <w:r w:rsidR="001C59A0" w:rsidRPr="004037C0">
        <w:rPr>
          <w:rFonts w:ascii="Times New Roman" w:eastAsia="Times New Roman" w:hAnsi="Times New Roman" w:cs="Times New Roman"/>
          <w:sz w:val="24"/>
          <w:szCs w:val="24"/>
        </w:rPr>
        <w:t xml:space="preserve"> a finding that </w:t>
      </w:r>
      <w:r w:rsidR="001C59A0">
        <w:rPr>
          <w:rFonts w:ascii="Times New Roman" w:eastAsia="Times New Roman" w:hAnsi="Times New Roman" w:cs="Times New Roman"/>
          <w:sz w:val="24"/>
          <w:szCs w:val="24"/>
        </w:rPr>
        <w:t>LCU</w:t>
      </w:r>
      <w:r w:rsidR="001C59A0" w:rsidRPr="004037C0">
        <w:rPr>
          <w:rFonts w:ascii="Times New Roman" w:eastAsia="Times New Roman" w:hAnsi="Times New Roman" w:cs="Times New Roman"/>
          <w:sz w:val="24"/>
          <w:szCs w:val="24"/>
        </w:rPr>
        <w:t xml:space="preserve"> meets the operations test specified in 16 TAC § 24.11(e)(3).</w:t>
      </w:r>
    </w:p>
    <w:p w14:paraId="3F9CC404" w14:textId="0AAE0D0F" w:rsidR="009B2488" w:rsidRDefault="009B2488" w:rsidP="00684EDF">
      <w:pPr>
        <w:widowControl w:val="0"/>
        <w:spacing w:after="120"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Capital Improvement Plan</w:t>
      </w:r>
    </w:p>
    <w:p w14:paraId="7C18A5CA" w14:textId="77777777" w:rsidR="009B2488" w:rsidRPr="002218F7" w:rsidRDefault="009B2488" w:rsidP="00684EDF">
      <w:pPr>
        <w:widowControl w:val="0"/>
        <w:spacing w:after="120" w:line="360" w:lineRule="auto"/>
        <w:jc w:val="both"/>
        <w:rPr>
          <w:rFonts w:ascii="Times New Roman" w:eastAsia="Times New Roman" w:hAnsi="Times New Roman" w:cs="Times New Roman"/>
          <w:sz w:val="24"/>
          <w:szCs w:val="24"/>
        </w:rPr>
      </w:pPr>
      <w:r w:rsidRPr="002218F7">
        <w:rPr>
          <w:rFonts w:ascii="Times New Roman" w:eastAsia="Times New Roman" w:hAnsi="Times New Roman" w:cs="Times New Roman"/>
          <w:sz w:val="24"/>
          <w:szCs w:val="24"/>
        </w:rPr>
        <w:tab/>
        <w:t xml:space="preserve">An applicant proposing service to a new CCN area must provide documentation of adequate funding for the purchase of an existing system plus any improvements necessary to provide continuous and adequate service to the existing customers per 16 TAC § </w:t>
      </w:r>
      <w:r w:rsidRPr="00BB6310">
        <w:rPr>
          <w:rFonts w:ascii="Times New Roman" w:eastAsia="Times New Roman" w:hAnsi="Times New Roman" w:cs="Times New Roman"/>
          <w:sz w:val="24"/>
          <w:szCs w:val="24"/>
        </w:rPr>
        <w:t>24.11(e)(5)(B).</w:t>
      </w:r>
    </w:p>
    <w:p w14:paraId="589D3C81" w14:textId="105F3D61" w:rsidR="009B2488" w:rsidRPr="009B2488" w:rsidRDefault="009B2488" w:rsidP="00684EDF">
      <w:pPr>
        <w:widowControl w:val="0"/>
        <w:spacing w:after="120" w:line="360" w:lineRule="auto"/>
        <w:jc w:val="both"/>
        <w:rPr>
          <w:rFonts w:ascii="Times New Roman" w:eastAsia="Times New Roman" w:hAnsi="Times New Roman" w:cs="Times New Roman"/>
          <w:sz w:val="24"/>
          <w:szCs w:val="24"/>
          <w:highlight w:val="yellow"/>
        </w:rPr>
      </w:pPr>
      <w:r w:rsidRPr="002218F7">
        <w:rPr>
          <w:rFonts w:ascii="Times New Roman" w:eastAsia="Times New Roman" w:hAnsi="Times New Roman" w:cs="Times New Roman"/>
          <w:sz w:val="24"/>
          <w:szCs w:val="24"/>
        </w:rPr>
        <w:tab/>
      </w:r>
      <w:r w:rsidRPr="00180FE2">
        <w:rPr>
          <w:rFonts w:ascii="Times New Roman" w:eastAsia="Times New Roman" w:hAnsi="Times New Roman" w:cs="Times New Roman"/>
          <w:sz w:val="24"/>
          <w:szCs w:val="24"/>
        </w:rPr>
        <w:t xml:space="preserve">The applicant has filed documentation demonstrating adequate funding of the planned system improvements for the </w:t>
      </w:r>
      <w:r w:rsidR="00F17B0C" w:rsidRPr="00180FE2">
        <w:rPr>
          <w:rFonts w:ascii="Times New Roman" w:eastAsia="Times New Roman" w:hAnsi="Times New Roman" w:cs="Times New Roman"/>
          <w:sz w:val="24"/>
          <w:szCs w:val="24"/>
        </w:rPr>
        <w:t>Santa Fe</w:t>
      </w:r>
      <w:r w:rsidR="00180FE2" w:rsidRPr="00180FE2">
        <w:rPr>
          <w:rFonts w:ascii="Times New Roman" w:eastAsia="Times New Roman" w:hAnsi="Times New Roman" w:cs="Times New Roman"/>
          <w:sz w:val="24"/>
          <w:szCs w:val="24"/>
        </w:rPr>
        <w:t xml:space="preserve"> water and wastewater systems</w:t>
      </w:r>
      <w:r w:rsidRPr="00180FE2">
        <w:rPr>
          <w:rFonts w:ascii="Times New Roman" w:eastAsia="Times New Roman" w:hAnsi="Times New Roman" w:cs="Times New Roman"/>
          <w:sz w:val="24"/>
          <w:szCs w:val="24"/>
        </w:rPr>
        <w:t>.</w:t>
      </w:r>
      <w:r w:rsidRPr="00180FE2">
        <w:rPr>
          <w:rStyle w:val="FootnoteReference"/>
          <w:rFonts w:ascii="Times New Roman" w:eastAsia="Times New Roman" w:hAnsi="Times New Roman" w:cs="Times New Roman"/>
          <w:sz w:val="24"/>
          <w:szCs w:val="24"/>
        </w:rPr>
        <w:footnoteReference w:id="5"/>
      </w:r>
      <w:r w:rsidRPr="00180FE2">
        <w:rPr>
          <w:rFonts w:ascii="Times New Roman" w:eastAsia="Times New Roman" w:hAnsi="Times New Roman" w:cs="Times New Roman"/>
          <w:sz w:val="24"/>
          <w:szCs w:val="24"/>
        </w:rPr>
        <w:t xml:space="preserve"> </w:t>
      </w:r>
      <w:r w:rsidR="00E04FE1">
        <w:rPr>
          <w:rFonts w:ascii="Times New Roman" w:eastAsia="Times New Roman" w:hAnsi="Times New Roman" w:cs="Times New Roman"/>
          <w:sz w:val="24"/>
          <w:szCs w:val="24"/>
        </w:rPr>
        <w:t>LCU has demonstrated</w:t>
      </w:r>
      <w:r w:rsidR="008B468B">
        <w:rPr>
          <w:rFonts w:ascii="Times New Roman" w:eastAsia="Times New Roman" w:hAnsi="Times New Roman" w:cs="Times New Roman"/>
          <w:sz w:val="24"/>
          <w:szCs w:val="24"/>
        </w:rPr>
        <w:t xml:space="preserve"> that</w:t>
      </w:r>
      <w:r w:rsidR="00E04FE1">
        <w:rPr>
          <w:rFonts w:ascii="Times New Roman" w:eastAsia="Times New Roman" w:hAnsi="Times New Roman" w:cs="Times New Roman"/>
          <w:sz w:val="24"/>
          <w:szCs w:val="24"/>
        </w:rPr>
        <w:t xml:space="preserve"> </w:t>
      </w:r>
      <w:r w:rsidR="00815BFB">
        <w:rPr>
          <w:rFonts w:ascii="Times New Roman" w:eastAsia="Times New Roman" w:hAnsi="Times New Roman" w:cs="Times New Roman"/>
          <w:sz w:val="24"/>
          <w:szCs w:val="24"/>
        </w:rPr>
        <w:t>enough cash, a firm capital, has already been committed to the guarantor</w:t>
      </w:r>
      <w:r w:rsidR="008B468B">
        <w:rPr>
          <w:rFonts w:ascii="Times New Roman" w:eastAsia="Times New Roman" w:hAnsi="Times New Roman" w:cs="Times New Roman"/>
          <w:sz w:val="24"/>
          <w:szCs w:val="24"/>
        </w:rPr>
        <w:t xml:space="preserve"> who, by nature of their Guaranty, has committed</w:t>
      </w:r>
      <w:r w:rsidR="008322F8">
        <w:rPr>
          <w:rFonts w:ascii="Times New Roman" w:eastAsia="Times New Roman" w:hAnsi="Times New Roman" w:cs="Times New Roman"/>
          <w:sz w:val="24"/>
          <w:szCs w:val="24"/>
        </w:rPr>
        <w:t xml:space="preserve"> the requisite capital</w:t>
      </w:r>
      <w:r w:rsidR="008B468B">
        <w:rPr>
          <w:rFonts w:ascii="Times New Roman" w:eastAsia="Times New Roman" w:hAnsi="Times New Roman" w:cs="Times New Roman"/>
          <w:sz w:val="24"/>
          <w:szCs w:val="24"/>
        </w:rPr>
        <w:t xml:space="preserve"> to the applicant</w:t>
      </w:r>
      <w:r w:rsidR="00815BFB">
        <w:rPr>
          <w:rFonts w:ascii="Times New Roman" w:eastAsia="Times New Roman" w:hAnsi="Times New Roman" w:cs="Times New Roman"/>
          <w:sz w:val="24"/>
          <w:szCs w:val="24"/>
        </w:rPr>
        <w:t xml:space="preserve">. </w:t>
      </w:r>
      <w:r w:rsidRPr="00180FE2">
        <w:rPr>
          <w:rFonts w:ascii="Times New Roman" w:eastAsia="Times New Roman" w:hAnsi="Times New Roman" w:cs="Times New Roman"/>
          <w:sz w:val="24"/>
          <w:szCs w:val="24"/>
        </w:rPr>
        <w:t xml:space="preserve">Therefore, I recommend a finding </w:t>
      </w:r>
      <w:r w:rsidRPr="00180FE2">
        <w:rPr>
          <w:rFonts w:ascii="Times New Roman" w:eastAsia="Times New Roman" w:hAnsi="Times New Roman" w:cs="Times New Roman"/>
          <w:sz w:val="24"/>
          <w:szCs w:val="24"/>
        </w:rPr>
        <w:lastRenderedPageBreak/>
        <w:t xml:space="preserve">that </w:t>
      </w:r>
      <w:r w:rsidR="006C40EE">
        <w:rPr>
          <w:rFonts w:ascii="Times New Roman" w:eastAsia="Times New Roman" w:hAnsi="Times New Roman" w:cs="Times New Roman"/>
          <w:sz w:val="24"/>
          <w:szCs w:val="24"/>
        </w:rPr>
        <w:t>LCU</w:t>
      </w:r>
      <w:r w:rsidRPr="00180FE2">
        <w:rPr>
          <w:rFonts w:ascii="Times New Roman" w:eastAsia="Times New Roman" w:hAnsi="Times New Roman" w:cs="Times New Roman"/>
          <w:sz w:val="24"/>
          <w:szCs w:val="24"/>
        </w:rPr>
        <w:t xml:space="preserve"> satisfies the requirements of 16 TAC § 24.11(e)(5)(B).</w:t>
      </w:r>
    </w:p>
    <w:p w14:paraId="1640854D" w14:textId="2C5BE6AC" w:rsidR="00376E5F" w:rsidRPr="001C59A0" w:rsidRDefault="00376E5F" w:rsidP="008471AB">
      <w:pPr>
        <w:keepNext/>
        <w:spacing w:after="120" w:line="360" w:lineRule="auto"/>
        <w:jc w:val="both"/>
        <w:rPr>
          <w:rFonts w:ascii="Times New Roman" w:eastAsia="Times New Roman" w:hAnsi="Times New Roman" w:cs="Times New Roman"/>
          <w:b/>
          <w:bCs/>
          <w:i/>
          <w:iCs/>
          <w:sz w:val="24"/>
          <w:szCs w:val="24"/>
        </w:rPr>
      </w:pPr>
      <w:r w:rsidRPr="001C59A0">
        <w:rPr>
          <w:rFonts w:ascii="Times New Roman" w:eastAsia="Times New Roman" w:hAnsi="Times New Roman" w:cs="Times New Roman"/>
          <w:b/>
          <w:bCs/>
          <w:i/>
          <w:iCs/>
          <w:sz w:val="24"/>
          <w:szCs w:val="24"/>
        </w:rPr>
        <w:t>Recommendation</w:t>
      </w:r>
    </w:p>
    <w:p w14:paraId="5CAD1645" w14:textId="1278C890" w:rsidR="00376E5F" w:rsidRPr="004037C0" w:rsidRDefault="00376E5F" w:rsidP="00684EDF">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E2548D">
        <w:rPr>
          <w:rFonts w:ascii="Times New Roman" w:eastAsia="Times New Roman" w:hAnsi="Times New Roman" w:cs="Times New Roman"/>
          <w:sz w:val="24"/>
          <w:szCs w:val="24"/>
        </w:rPr>
        <w:t>LCU</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193C70F9" w:rsidR="00372923" w:rsidRPr="00372923" w:rsidRDefault="00133D92" w:rsidP="00684EDF">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E2548D">
        <w:rPr>
          <w:rFonts w:ascii="Times New Roman" w:hAnsi="Times New Roman" w:cs="Times New Roman"/>
          <w:sz w:val="24"/>
          <w:szCs w:val="24"/>
        </w:rPr>
        <w:t>LCU</w:t>
      </w:r>
      <w:r w:rsidR="00372923" w:rsidRPr="004037C0">
        <w:rPr>
          <w:rFonts w:ascii="Times New Roman" w:hAnsi="Times New Roman" w:cs="Times New Roman"/>
          <w:sz w:val="24"/>
          <w:szCs w:val="24"/>
        </w:rPr>
        <w:t xml:space="preserve"> demonstrates the financial and managerial capability needed to provide </w:t>
      </w:r>
      <w:r w:rsidR="00372923" w:rsidRPr="00372923">
        <w:rPr>
          <w:rFonts w:ascii="Times New Roman" w:hAnsi="Times New Roman" w:cs="Times New Roman"/>
          <w:sz w:val="24"/>
          <w:szCs w:val="24"/>
        </w:rPr>
        <w:t xml:space="preserve">adequate service to the area subject to this application.  My conclusions are based on information provided by </w:t>
      </w:r>
      <w:r w:rsidR="00E2548D">
        <w:rPr>
          <w:rFonts w:ascii="Times New Roman" w:hAnsi="Times New Roman" w:cs="Times New Roman"/>
          <w:sz w:val="24"/>
          <w:szCs w:val="24"/>
        </w:rPr>
        <w:t>LCU</w:t>
      </w:r>
      <w:r w:rsidR="00372923" w:rsidRPr="00372923">
        <w:rPr>
          <w:rFonts w:ascii="Times New Roman" w:hAnsi="Times New Roman" w:cs="Times New Roman"/>
          <w:sz w:val="24"/>
          <w:szCs w:val="24"/>
        </w:rPr>
        <w:t xml:space="preserve"> before the date of this memorandum and may not reflect any changes in </w:t>
      </w:r>
      <w:r w:rsidR="00E2548D">
        <w:rPr>
          <w:rFonts w:ascii="Times New Roman" w:hAnsi="Times New Roman" w:cs="Times New Roman"/>
          <w:sz w:val="24"/>
          <w:szCs w:val="24"/>
        </w:rPr>
        <w:t>LCU</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DC606" w14:textId="77777777" w:rsidR="0031100F" w:rsidRDefault="0031100F" w:rsidP="003E3FA5">
      <w:pPr>
        <w:spacing w:after="0" w:line="240" w:lineRule="auto"/>
      </w:pPr>
      <w:r>
        <w:separator/>
      </w:r>
    </w:p>
  </w:endnote>
  <w:endnote w:type="continuationSeparator" w:id="0">
    <w:p w14:paraId="0DA34C26" w14:textId="77777777" w:rsidR="0031100F" w:rsidRDefault="0031100F"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197D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197D3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59104" w14:textId="77777777" w:rsidR="0031100F" w:rsidRDefault="0031100F" w:rsidP="003E3FA5">
      <w:pPr>
        <w:spacing w:after="0" w:line="240" w:lineRule="auto"/>
      </w:pPr>
      <w:r>
        <w:separator/>
      </w:r>
    </w:p>
  </w:footnote>
  <w:footnote w:type="continuationSeparator" w:id="0">
    <w:p w14:paraId="605DCCEB" w14:textId="77777777" w:rsidR="0031100F" w:rsidRDefault="0031100F" w:rsidP="003E3FA5">
      <w:pPr>
        <w:spacing w:after="0" w:line="240" w:lineRule="auto"/>
      </w:pPr>
      <w:r>
        <w:continuationSeparator/>
      </w:r>
    </w:p>
  </w:footnote>
  <w:footnote w:id="1">
    <w:p w14:paraId="766B0C11" w14:textId="478E97F0" w:rsidR="00EA79D9" w:rsidRDefault="00EA79D9" w:rsidP="006C40EE">
      <w:pPr>
        <w:pStyle w:val="FootnoteText"/>
        <w:spacing w:after="120"/>
        <w:ind w:firstLine="720"/>
        <w:jc w:val="both"/>
      </w:pPr>
      <w:r>
        <w:rPr>
          <w:rStyle w:val="FootnoteReference"/>
        </w:rPr>
        <w:footnoteRef/>
      </w:r>
      <w:r>
        <w:t xml:space="preserve">  </w:t>
      </w:r>
      <w:r w:rsidRPr="00083B4A">
        <w:t xml:space="preserve">Application, </w:t>
      </w:r>
      <w:r w:rsidR="00083B4A" w:rsidRPr="00083B4A">
        <w:rPr>
          <w:i/>
          <w:iCs/>
        </w:rPr>
        <w:t>Confidential Response to Order Remanding Proceeding to Docket Management</w:t>
      </w:r>
      <w:r w:rsidRPr="00083B4A">
        <w:t xml:space="preserve">, item no. </w:t>
      </w:r>
      <w:r w:rsidR="00083B4A" w:rsidRPr="00083B4A">
        <w:t>4</w:t>
      </w:r>
      <w:r w:rsidRPr="00083B4A">
        <w:t>3</w:t>
      </w:r>
      <w:r w:rsidR="00EB1EC3">
        <w:t xml:space="preserve">, at bates 5 </w:t>
      </w:r>
      <w:r w:rsidRPr="00083B4A">
        <w:t>(</w:t>
      </w:r>
      <w:r w:rsidR="00083B4A" w:rsidRPr="00083B4A">
        <w:t>Nov</w:t>
      </w:r>
      <w:r w:rsidRPr="00083B4A">
        <w:t>. 21, 2022).</w:t>
      </w:r>
    </w:p>
  </w:footnote>
  <w:footnote w:id="2">
    <w:p w14:paraId="61D04647" w14:textId="5A32AD9C" w:rsidR="00937A70" w:rsidRPr="00684EDF" w:rsidRDefault="00937A70" w:rsidP="006C40EE">
      <w:pPr>
        <w:pStyle w:val="FootnoteText"/>
        <w:spacing w:after="120"/>
        <w:ind w:firstLine="720"/>
        <w:jc w:val="both"/>
      </w:pPr>
      <w:r>
        <w:rPr>
          <w:rStyle w:val="FootnoteReference"/>
        </w:rPr>
        <w:footnoteRef/>
      </w:r>
      <w:r>
        <w:t xml:space="preserve"> </w:t>
      </w:r>
      <w:r w:rsidR="0004746B">
        <w:t xml:space="preserve"> </w:t>
      </w:r>
      <w:r w:rsidR="00684EDF">
        <w:rPr>
          <w:i/>
          <w:iCs/>
        </w:rPr>
        <w:t>Id.</w:t>
      </w:r>
      <w:r w:rsidR="00684EDF">
        <w:t>, at bates 12.</w:t>
      </w:r>
    </w:p>
  </w:footnote>
  <w:footnote w:id="3">
    <w:p w14:paraId="42827A33" w14:textId="61FE9497" w:rsidR="003829B2" w:rsidRPr="0097459C" w:rsidRDefault="003829B2" w:rsidP="006C40EE">
      <w:pPr>
        <w:pStyle w:val="FootnoteText"/>
        <w:spacing w:after="120"/>
        <w:ind w:firstLine="720"/>
        <w:jc w:val="both"/>
      </w:pPr>
      <w:r>
        <w:rPr>
          <w:rStyle w:val="FootnoteReference"/>
        </w:rPr>
        <w:footnoteRef/>
      </w:r>
      <w:r>
        <w:t xml:space="preserve">  </w:t>
      </w:r>
      <w:r w:rsidR="0097459C">
        <w:t>The calculations for which can be found in confidential Attachment EB-1.</w:t>
      </w:r>
    </w:p>
  </w:footnote>
  <w:footnote w:id="4">
    <w:p w14:paraId="585930CB" w14:textId="30A74B19" w:rsidR="00097F9A" w:rsidRDefault="00097F9A" w:rsidP="006C40EE">
      <w:pPr>
        <w:pStyle w:val="FootnoteText"/>
        <w:spacing w:after="120"/>
        <w:ind w:firstLine="720"/>
        <w:jc w:val="both"/>
      </w:pPr>
      <w:r>
        <w:rPr>
          <w:rStyle w:val="FootnoteReference"/>
        </w:rPr>
        <w:footnoteRef/>
      </w:r>
      <w:r>
        <w:t xml:space="preserve">  </w:t>
      </w:r>
      <w:r w:rsidR="002F03E7">
        <w:t xml:space="preserve">Application, </w:t>
      </w:r>
      <w:r w:rsidR="002F03E7" w:rsidRPr="002F03E7">
        <w:rPr>
          <w:i/>
          <w:iCs/>
        </w:rPr>
        <w:t>Response</w:t>
      </w:r>
      <w:r w:rsidR="002F03E7">
        <w:t xml:space="preserve"> </w:t>
      </w:r>
      <w:r w:rsidR="002F03E7">
        <w:rPr>
          <w:i/>
          <w:iCs/>
        </w:rPr>
        <w:t>to RFI</w:t>
      </w:r>
      <w:r w:rsidR="002F03E7">
        <w:t>, item no. 6, at page</w:t>
      </w:r>
      <w:r w:rsidR="007208EB">
        <w:t xml:space="preserve"> 13 (Oct. 5, 2021).</w:t>
      </w:r>
      <w:r w:rsidR="002F03E7">
        <w:t xml:space="preserve"> </w:t>
      </w:r>
      <w:r w:rsidRPr="002F03E7">
        <w:t>The</w:t>
      </w:r>
      <w:r>
        <w:t xml:space="preserve"> calculations for which can be found in confidential Attachment EB-1.</w:t>
      </w:r>
    </w:p>
  </w:footnote>
  <w:footnote w:id="5">
    <w:p w14:paraId="23270019" w14:textId="77777777" w:rsidR="009B2488" w:rsidRPr="00FB23E6" w:rsidRDefault="009B2488" w:rsidP="006C40EE">
      <w:pPr>
        <w:pStyle w:val="FootnoteText"/>
        <w:spacing w:after="120"/>
        <w:ind w:firstLine="720"/>
        <w:jc w:val="both"/>
      </w:pPr>
      <w:r w:rsidRPr="00E80D40">
        <w:rPr>
          <w:rStyle w:val="FootnoteReference"/>
        </w:rPr>
        <w:footnoteRef/>
      </w:r>
      <w:r w:rsidRPr="00E80D40">
        <w:t xml:space="preserve">  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09CC7E48" w:rsidR="00195A79" w:rsidRPr="002E015F" w:rsidRDefault="00363697" w:rsidP="0099083B">
    <w:pPr>
      <w:pStyle w:val="Header"/>
      <w:spacing w:after="240"/>
      <w:jc w:val="right"/>
      <w:rPr>
        <w:b/>
      </w:rPr>
    </w:pPr>
    <w:r w:rsidRPr="002E015F">
      <w:rPr>
        <w:b/>
      </w:rPr>
      <w:t xml:space="preserve">Docket No. </w:t>
    </w:r>
    <w:r w:rsidR="00E2548D">
      <w:rPr>
        <w:b/>
      </w:rPr>
      <w:t>52391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44207"/>
    <w:rsid w:val="0004746B"/>
    <w:rsid w:val="00083B4A"/>
    <w:rsid w:val="00097F9A"/>
    <w:rsid w:val="000C0DBB"/>
    <w:rsid w:val="001102DB"/>
    <w:rsid w:val="00111798"/>
    <w:rsid w:val="0013261C"/>
    <w:rsid w:val="00133D92"/>
    <w:rsid w:val="00147CE5"/>
    <w:rsid w:val="00180FE2"/>
    <w:rsid w:val="00197D32"/>
    <w:rsid w:val="001C59A0"/>
    <w:rsid w:val="002149AE"/>
    <w:rsid w:val="00256BA8"/>
    <w:rsid w:val="00284379"/>
    <w:rsid w:val="002A05D8"/>
    <w:rsid w:val="002B55D4"/>
    <w:rsid w:val="002C14AC"/>
    <w:rsid w:val="002C68ED"/>
    <w:rsid w:val="002F03E7"/>
    <w:rsid w:val="0031100F"/>
    <w:rsid w:val="00363697"/>
    <w:rsid w:val="00372923"/>
    <w:rsid w:val="00376E5F"/>
    <w:rsid w:val="003829B2"/>
    <w:rsid w:val="003C1F2C"/>
    <w:rsid w:val="003E3FA5"/>
    <w:rsid w:val="003F5F18"/>
    <w:rsid w:val="004037C0"/>
    <w:rsid w:val="004412BD"/>
    <w:rsid w:val="004E3C14"/>
    <w:rsid w:val="00512787"/>
    <w:rsid w:val="00531AAD"/>
    <w:rsid w:val="005C50C8"/>
    <w:rsid w:val="005E707D"/>
    <w:rsid w:val="0063274E"/>
    <w:rsid w:val="00635BC4"/>
    <w:rsid w:val="00636D72"/>
    <w:rsid w:val="00660C9F"/>
    <w:rsid w:val="00684EDF"/>
    <w:rsid w:val="006C40EE"/>
    <w:rsid w:val="006F5466"/>
    <w:rsid w:val="007208EB"/>
    <w:rsid w:val="00725D52"/>
    <w:rsid w:val="007700A2"/>
    <w:rsid w:val="007745E7"/>
    <w:rsid w:val="00780CFF"/>
    <w:rsid w:val="007D0A6F"/>
    <w:rsid w:val="00815BFB"/>
    <w:rsid w:val="008322F8"/>
    <w:rsid w:val="008471AB"/>
    <w:rsid w:val="00891293"/>
    <w:rsid w:val="008B468B"/>
    <w:rsid w:val="008D2981"/>
    <w:rsid w:val="008D49AB"/>
    <w:rsid w:val="00937A70"/>
    <w:rsid w:val="0094712D"/>
    <w:rsid w:val="00961A50"/>
    <w:rsid w:val="00973928"/>
    <w:rsid w:val="0097459C"/>
    <w:rsid w:val="0098245A"/>
    <w:rsid w:val="009B2488"/>
    <w:rsid w:val="00A20872"/>
    <w:rsid w:val="00A606BD"/>
    <w:rsid w:val="00AE4987"/>
    <w:rsid w:val="00B52332"/>
    <w:rsid w:val="00B6304F"/>
    <w:rsid w:val="00B70721"/>
    <w:rsid w:val="00BA5465"/>
    <w:rsid w:val="00BB6310"/>
    <w:rsid w:val="00C0242A"/>
    <w:rsid w:val="00C74679"/>
    <w:rsid w:val="00CE79A0"/>
    <w:rsid w:val="00CF15CF"/>
    <w:rsid w:val="00D52DC0"/>
    <w:rsid w:val="00D73FFD"/>
    <w:rsid w:val="00D9105A"/>
    <w:rsid w:val="00DF03E9"/>
    <w:rsid w:val="00E04FE1"/>
    <w:rsid w:val="00E2548D"/>
    <w:rsid w:val="00E375C8"/>
    <w:rsid w:val="00EA6521"/>
    <w:rsid w:val="00EA79D9"/>
    <w:rsid w:val="00EB1EC3"/>
    <w:rsid w:val="00EB6314"/>
    <w:rsid w:val="00EE489A"/>
    <w:rsid w:val="00EF2CA2"/>
    <w:rsid w:val="00F17B0C"/>
    <w:rsid w:val="00F21E89"/>
    <w:rsid w:val="00F65A84"/>
    <w:rsid w:val="00F81C5D"/>
    <w:rsid w:val="00FC0318"/>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3</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Mildred Anaele</cp:lastModifiedBy>
  <cp:revision>61</cp:revision>
  <dcterms:created xsi:type="dcterms:W3CDTF">2022-04-29T20:30:00Z</dcterms:created>
  <dcterms:modified xsi:type="dcterms:W3CDTF">2023-01-13T05:15:00Z</dcterms:modified>
</cp:coreProperties>
</file>